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PIAAC - </w:t>
      </w: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международное исследование компетенций взрослого населения (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The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Programme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for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the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International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Assessment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of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Adult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Competencies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), </w:t>
      </w:r>
      <w:proofErr w:type="gram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которая</w:t>
      </w:r>
      <w:proofErr w:type="gram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проводится по инициативе </w:t>
      </w:r>
      <w:r w:rsidRPr="0028086A">
        <w:rPr>
          <w:rFonts w:ascii="Roboto" w:eastAsia="Times New Roman" w:hAnsi="Roboto" w:cs="Times New Roman"/>
          <w:b/>
          <w:bCs/>
          <w:i/>
          <w:iCs/>
          <w:color w:val="333333"/>
          <w:spacing w:val="6"/>
          <w:sz w:val="23"/>
          <w:szCs w:val="23"/>
          <w:lang w:eastAsia="ru-RU"/>
        </w:rPr>
        <w:t>Организации экономического сотрудничества и развития (ОЭСР)</w:t>
      </w: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Данное исследование помогает правительствам осуществлять оценку, мониторинг и анализ уровня профессиональных </w:t>
      </w:r>
      <w:proofErr w:type="gram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навыков</w:t>
      </w:r>
      <w:proofErr w:type="gram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и их распределения среди взрослого населения, а также степени использования профессиональных навыков в различных ситуациях.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Исследование проводится циклично, начиная с 2008 года, как в странах ОЭСР, так и в странах-партнерах организации.  Число </w:t>
      </w:r>
      <w:proofErr w:type="gram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стран, охваченных программой исследования постепенно увеличивается</w:t>
      </w:r>
      <w:proofErr w:type="gram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. Длительность 1-го </w:t>
      </w:r>
      <w:hyperlink r:id="rId6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цикла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составляет 3 года:</w:t>
      </w:r>
    </w:p>
    <w:p w:rsidR="0028086A" w:rsidRPr="0028086A" w:rsidRDefault="0028086A" w:rsidP="00280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  <w:t>Подготовка к проведению исследования;</w:t>
      </w:r>
    </w:p>
    <w:p w:rsidR="0028086A" w:rsidRPr="0028086A" w:rsidRDefault="0028086A" w:rsidP="00280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  <w:t>Апробация исследования;</w:t>
      </w:r>
    </w:p>
    <w:p w:rsidR="0028086A" w:rsidRPr="0028086A" w:rsidRDefault="0028086A" w:rsidP="00280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  <w:t>Проведение исследования, анализ и публикация результатов.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 первом </w:t>
      </w:r>
      <w:hyperlink r:id="rId7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цикле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 (2008-2013) приняли участие 24 страны: </w:t>
      </w:r>
      <w:proofErr w:type="gram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Австралия, Австрия, Фландрия (Бельгия), </w:t>
      </w:r>
      <w:hyperlink r:id="rId8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Великобритания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, Германия, Дания, Ирландия, </w:t>
      </w:r>
      <w:hyperlink r:id="rId9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Испания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, Италия, Канада, Кипр, Нидерланды, Норвегия, Польша, Россия, Словакия, США, Финляндия, Франция, Чехия, Швеция, Эстония, Южная Корея, Япония.</w:t>
      </w:r>
      <w:proofErr w:type="gramEnd"/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Во втором цикле (2012-2016) PIAAC реализуется еще в нескольких странах: Греции, Израиле, Индонезии, Литве, Новой Зеландии, Сингапуре, Словении, Турции, Чили.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 третьем цикле (2016-2019) также будут участвовать следующие страны-партнеры ОЭСР: Эквадор, Венгрия, Казахстан, Мексика, Перу, США.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Основные элементы исследования профессиональных навыков взрослых (PIAAC) включают в себя следующие параметры: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pacing w:val="6"/>
          <w:sz w:val="23"/>
          <w:szCs w:val="23"/>
          <w:lang w:eastAsia="ru-RU"/>
        </w:rPr>
        <w:lastRenderedPageBreak/>
        <w:drawing>
          <wp:inline distT="0" distB="0" distL="0" distR="0">
            <wp:extent cx="6013450" cy="3937635"/>
            <wp:effectExtent l="0" t="0" r="6350" b="5715"/>
            <wp:docPr id="2" name="Рисунок 2" descr="http://fioco.ru/Media/Default/Pictures/%D1%82%D0%B0%D0%B1%D0%BB%D0%B8%D1%86%D0%B0%20PI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oco.ru/Media/Default/Pictures/%D1%82%D0%B0%D0%B1%D0%BB%D0%B8%D1%86%D0%B0%20PIAA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i/>
          <w:iCs/>
          <w:color w:val="333333"/>
          <w:spacing w:val="6"/>
          <w:sz w:val="23"/>
          <w:szCs w:val="23"/>
          <w:lang w:eastAsia="ru-RU"/>
        </w:rPr>
        <w:t>Инструментарий исследования:</w:t>
      </w:r>
    </w:p>
    <w:p w:rsidR="0028086A" w:rsidRPr="0028086A" w:rsidRDefault="0028086A" w:rsidP="00280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u w:val="single"/>
          <w:lang w:eastAsia="ru-RU"/>
        </w:rPr>
        <w:t>Биографическая анкета</w:t>
      </w: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позволяет собрать многоплановую информацию о респонденте: возраст, образование, профессиональный статус, сфера занятости и др., а также данные об использовании навыков на рабочем месте и в повседневной жизни.</w:t>
      </w:r>
    </w:p>
    <w:p w:rsidR="0028086A" w:rsidRPr="0028086A" w:rsidRDefault="0028086A" w:rsidP="00280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u w:val="single"/>
          <w:lang w:eastAsia="ru-RU"/>
        </w:rPr>
        <w:t>Тестовые задания</w:t>
      </w: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позволяют оценить компетенции взрослого населения в трех сферах: грамотность в области чтения, математическая грамотность, способность решения задач в технологически насыщенной среде.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</w:t>
      </w:r>
      <w:r w:rsidRPr="0028086A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Участие России в PIAAC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hyperlink r:id="rId11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Фильм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 о программе PIAAC в Российской Федерации, подготовленный Федеральным государственным бюджетным </w:t>
      </w:r>
      <w:proofErr w:type="spellStart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учрждением</w:t>
      </w:r>
      <w:proofErr w:type="spellEnd"/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"Федеральный институт оценки качества образования" в 2016 году в рамках исполнения Государственного контракта от 08.06.2016 г. № Ф-28-кс-2016.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Это первое масштабное исследование навыков взрослых, в котором приняла участие Российская Федерация. В целом в исследовании, проводившемся в 2013 году, приняли участие 157 000 человек в возрасте от 16 до 65 лет, из которых в </w:t>
      </w:r>
      <w:hyperlink r:id="rId12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России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более 5000 взрослых из 94 населенных пунктов 25 регионов страны.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Средний балл </w:t>
      </w:r>
      <w:hyperlink r:id="rId13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России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 в области чтения составляет 275 баллов, в то время как средний балл по странам ОЭСР равен 273 баллам (разница между средними баллами по </w:t>
      </w: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lastRenderedPageBreak/>
        <w:t>статистическому критерию является значимой). Россия занимает </w:t>
      </w:r>
      <w:r w:rsidRPr="0028086A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8-е место</w:t>
      </w: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по грамотности чтения среди 24 стран-членов ОЭСР.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Средний балл России по математической грамотности составляет 270 баллом; средний балл по странам ОЭСР равен 269 баллам (разница между баллами не значима). Россия занимает </w:t>
      </w:r>
      <w:r w:rsidRPr="0028086A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13-е место</w:t>
      </w: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по математической грамотности среди 24 стран-членов ОЭСР.</w:t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pacing w:val="6"/>
          <w:sz w:val="23"/>
          <w:szCs w:val="23"/>
          <w:lang w:eastAsia="ru-RU"/>
        </w:rPr>
        <w:drawing>
          <wp:inline distT="0" distB="0" distL="0" distR="0">
            <wp:extent cx="5494655" cy="3212465"/>
            <wp:effectExtent l="0" t="0" r="0" b="6985"/>
            <wp:docPr id="1" name="Рисунок 1" descr="http://fioco.ru/Media/Default/Pictures/%D0%B3%D1%80%D0%B0%D1%84%D0%B8%D0%BA%20PI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oco.ru/Media/Default/Pictures/%D0%B3%D1%80%D0%B0%D1%84%D0%B8%D0%BA%20PIAA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6A" w:rsidRPr="0028086A" w:rsidRDefault="0028086A" w:rsidP="0028086A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Тем не менее, </w:t>
      </w:r>
      <w:hyperlink r:id="rId15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россияне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слабо владеют информационными </w:t>
      </w:r>
      <w:hyperlink r:id="rId16" w:tgtFrame="_blank" w:history="1">
        <w:r w:rsidRPr="0028086A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технологиями</w:t>
        </w:r>
      </w:hyperlink>
      <w:r w:rsidRPr="0028086A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. Так, у 33,6% российских респондентов отсутствуют компетенции по решению задач в технологически насыщенной среде. В странах ОСР данный показатель составляет лишь 19,5%.</w:t>
      </w:r>
    </w:p>
    <w:p w:rsidR="000807D4" w:rsidRDefault="000807D4">
      <w:bookmarkStart w:id="0" w:name="_GoBack"/>
      <w:bookmarkEnd w:id="0"/>
    </w:p>
    <w:sectPr w:rsidR="0008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1B43"/>
    <w:multiLevelType w:val="multilevel"/>
    <w:tmpl w:val="40DC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73452"/>
    <w:multiLevelType w:val="multilevel"/>
    <w:tmpl w:val="F59A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C"/>
    <w:rsid w:val="000807D4"/>
    <w:rsid w:val="0028086A"/>
    <w:rsid w:val="005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86A"/>
    <w:rPr>
      <w:b/>
      <w:bCs/>
    </w:rPr>
  </w:style>
  <w:style w:type="character" w:styleId="a5">
    <w:name w:val="Emphasis"/>
    <w:basedOn w:val="a0"/>
    <w:uiPriority w:val="20"/>
    <w:qFormat/>
    <w:rsid w:val="0028086A"/>
    <w:rPr>
      <w:i/>
      <w:iCs/>
    </w:rPr>
  </w:style>
  <w:style w:type="character" w:styleId="a6">
    <w:name w:val="Hyperlink"/>
    <w:basedOn w:val="a0"/>
    <w:uiPriority w:val="99"/>
    <w:semiHidden/>
    <w:unhideWhenUsed/>
    <w:rsid w:val="002808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86A"/>
    <w:rPr>
      <w:b/>
      <w:bCs/>
    </w:rPr>
  </w:style>
  <w:style w:type="character" w:styleId="a5">
    <w:name w:val="Emphasis"/>
    <w:basedOn w:val="a0"/>
    <w:uiPriority w:val="20"/>
    <w:qFormat/>
    <w:rsid w:val="0028086A"/>
    <w:rPr>
      <w:i/>
      <w:iCs/>
    </w:rPr>
  </w:style>
  <w:style w:type="character" w:styleId="a6">
    <w:name w:val="Hyperlink"/>
    <w:basedOn w:val="a0"/>
    <w:uiPriority w:val="99"/>
    <w:semiHidden/>
    <w:unhideWhenUsed/>
    <w:rsid w:val="002808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oco.ru/ru/international_studies/piaac" TargetMode="External"/><Relationship Id="rId13" Type="http://schemas.openxmlformats.org/officeDocument/2006/relationships/hyperlink" Target="http://fioco.ru/ru/international_studies/piaa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oco.ru/ru/international_studies/piaac" TargetMode="External"/><Relationship Id="rId12" Type="http://schemas.openxmlformats.org/officeDocument/2006/relationships/hyperlink" Target="http://fioco.ru/ru/international_studies/piaa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oco.ru/ru/international_studies/pia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oco.ru/ru/international_studies/piaac" TargetMode="External"/><Relationship Id="rId11" Type="http://schemas.openxmlformats.org/officeDocument/2006/relationships/hyperlink" Target="http://fioco.ru/ru/international_studies/pia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oco.ru/ru/international_studies/piaac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ioco.ru/ru/international_studies/piaa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3</cp:revision>
  <dcterms:created xsi:type="dcterms:W3CDTF">2018-05-28T05:47:00Z</dcterms:created>
  <dcterms:modified xsi:type="dcterms:W3CDTF">2018-05-28T05:48:00Z</dcterms:modified>
</cp:coreProperties>
</file>